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1EC" w:rsidRPr="006521EC" w:rsidRDefault="006521EC" w:rsidP="006521EC">
      <w:pPr>
        <w:spacing w:before="100" w:beforeAutospacing="1" w:after="100" w:afterAutospacing="1" w:line="240" w:lineRule="auto"/>
        <w:jc w:val="both"/>
        <w:outlineLvl w:val="0"/>
        <w:rPr>
          <w:rFonts w:ascii="Times New Roman" w:eastAsia="Times New Roman" w:hAnsi="Times New Roman" w:cs="Times New Roman"/>
          <w:b/>
          <w:bCs/>
          <w:kern w:val="36"/>
          <w:sz w:val="48"/>
          <w:szCs w:val="48"/>
        </w:rPr>
      </w:pPr>
      <w:r w:rsidRPr="006521EC">
        <w:rPr>
          <w:rFonts w:ascii="Times New Roman" w:eastAsia="Times New Roman" w:hAnsi="Times New Roman" w:cs="Times New Roman"/>
          <w:b/>
          <w:bCs/>
          <w:kern w:val="36"/>
          <w:sz w:val="48"/>
          <w:szCs w:val="48"/>
        </w:rPr>
        <w:t>Foreign Direct Investment into Kenya: Legal and Corporate Considerations</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Introduction</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Foreign direct investment (FDI) plays a critical role in Kenya’s economic development. Kenya continues to attract foreign investors across sectors such as infrastructure, energy, technology, financial services, manufacturing, and agribusiness. For international investors, Kenya offers strategic regional access, a growing consumer market and an increasingly sophisticated legal framework.</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 xml:space="preserve">However, successful foreign direct investment into Kenya depends not only on commercial opportunity, but also on </w:t>
      </w:r>
      <w:r w:rsidRPr="006521EC">
        <w:rPr>
          <w:rFonts w:ascii="Times New Roman" w:eastAsia="Times New Roman" w:hAnsi="Times New Roman" w:cs="Times New Roman"/>
          <w:bCs/>
          <w:sz w:val="24"/>
          <w:szCs w:val="24"/>
        </w:rPr>
        <w:t>careful legal structuring, regulatory compliance, and corporate governance planning</w:t>
      </w:r>
      <w:r w:rsidRPr="006521EC">
        <w:rPr>
          <w:rFonts w:ascii="Times New Roman" w:eastAsia="Times New Roman" w:hAnsi="Times New Roman" w:cs="Times New Roman"/>
          <w:sz w:val="24"/>
          <w:szCs w:val="24"/>
        </w:rPr>
        <w:t xml:space="preserve">. This article examines </w:t>
      </w:r>
      <w:r>
        <w:rPr>
          <w:rFonts w:ascii="Times New Roman" w:eastAsia="Times New Roman" w:hAnsi="Times New Roman" w:cs="Times New Roman"/>
          <w:sz w:val="24"/>
          <w:szCs w:val="24"/>
        </w:rPr>
        <w:t>FDI into Kenya from a corporate-</w:t>
      </w:r>
      <w:r w:rsidRPr="006521EC">
        <w:rPr>
          <w:rFonts w:ascii="Times New Roman" w:eastAsia="Times New Roman" w:hAnsi="Times New Roman" w:cs="Times New Roman"/>
          <w:sz w:val="24"/>
          <w:szCs w:val="24"/>
        </w:rPr>
        <w:t>commercial perspective, with a focus on the legal considerations most relevant to foreign investors and their advisers.</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What Is Foreign Direct Investment?</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Foreign direct investment refers to an investment by a foreign person or entity that establishes a lasting interest and a degree of control in a business operating in another country. In practice, FDI into Kenya commonly takes the form of:</w:t>
      </w:r>
    </w:p>
    <w:p w:rsidR="006521EC" w:rsidRPr="006521EC" w:rsidRDefault="006521EC" w:rsidP="006521E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Incorporation of Kenyan subsidiaries</w:t>
      </w:r>
    </w:p>
    <w:p w:rsidR="006521EC" w:rsidRPr="006521EC" w:rsidRDefault="006521EC" w:rsidP="006521E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Acquisition of shares in existing Kenyan companies</w:t>
      </w:r>
    </w:p>
    <w:p w:rsidR="006521EC" w:rsidRPr="006521EC" w:rsidRDefault="006521EC" w:rsidP="006521E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Joint ventures with local partners</w:t>
      </w:r>
    </w:p>
    <w:p w:rsidR="006521EC" w:rsidRPr="006521EC" w:rsidRDefault="006521EC" w:rsidP="006521E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Greenfield investments</w:t>
      </w:r>
    </w:p>
    <w:p w:rsidR="006521EC" w:rsidRPr="006521EC" w:rsidRDefault="006521EC" w:rsidP="006521E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Strategic minority investments with governance rights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Each structure carries different legal, regulatory, and risk implications under Kenyan law.</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Common Entry Structures for Foreign Investors</w:t>
      </w:r>
    </w:p>
    <w:p w:rsidR="006521EC" w:rsidRPr="006521EC" w:rsidRDefault="006521EC" w:rsidP="006521EC">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6521EC">
        <w:rPr>
          <w:rFonts w:ascii="Times New Roman" w:eastAsia="Times New Roman" w:hAnsi="Times New Roman" w:cs="Times New Roman"/>
          <w:b/>
          <w:bCs/>
          <w:sz w:val="27"/>
          <w:szCs w:val="27"/>
        </w:rPr>
        <w:t>Wholly Owned Kenyan Subsidiaries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Many foreign investors choose to establish wholly owned subsidiaries in Kenya. This structure allows investors to maintain full control while benefiting from Kenya’s corporate legal framework.</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Key legal considerations include:</w:t>
      </w:r>
    </w:p>
    <w:p w:rsidR="006521EC" w:rsidRPr="006521EC" w:rsidRDefault="006521EC" w:rsidP="006521E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Incorporation requirements under Kenyan company law</w:t>
      </w:r>
    </w:p>
    <w:p w:rsidR="006521EC" w:rsidRPr="006521EC" w:rsidRDefault="006521EC" w:rsidP="006521E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Minimum capital requirements (where applicable)</w:t>
      </w:r>
    </w:p>
    <w:p w:rsidR="006521EC" w:rsidRPr="006521EC" w:rsidRDefault="006521EC" w:rsidP="006521E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lastRenderedPageBreak/>
        <w:t>Sector-specific ownership restrictions</w:t>
      </w:r>
    </w:p>
    <w:p w:rsidR="006521EC" w:rsidRPr="006521EC" w:rsidRDefault="006521EC" w:rsidP="006521E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Ongoing compliance and reporting obligations</w:t>
      </w:r>
    </w:p>
    <w:p w:rsidR="006521EC" w:rsidRPr="006521EC" w:rsidRDefault="006521EC" w:rsidP="006521EC">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6521EC">
        <w:rPr>
          <w:rFonts w:ascii="Times New Roman" w:eastAsia="Times New Roman" w:hAnsi="Times New Roman" w:cs="Times New Roman"/>
          <w:b/>
          <w:bCs/>
          <w:sz w:val="27"/>
          <w:szCs w:val="27"/>
        </w:rPr>
        <w:t>Joint Ventures and Strategic Partnerships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Joint ventures are common where local expertise, regulatory familiarity, or market access is required. These arrangements are typically governed by:</w:t>
      </w:r>
    </w:p>
    <w:p w:rsidR="006521EC" w:rsidRPr="006521EC" w:rsidRDefault="006521EC" w:rsidP="006521E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Shareholders’ agreements</w:t>
      </w:r>
    </w:p>
    <w:p w:rsidR="006521EC" w:rsidRPr="006521EC" w:rsidRDefault="006521EC" w:rsidP="006521E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Tailored articles of association</w:t>
      </w:r>
    </w:p>
    <w:p w:rsidR="006521EC" w:rsidRPr="006521EC" w:rsidRDefault="006521EC" w:rsidP="006521E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Reserved matters and veto rights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From a governance perspective, joint ventures require careful balancing of control, minority protections, and exit mechanisms.</w:t>
      </w:r>
    </w:p>
    <w:p w:rsidR="006521EC" w:rsidRPr="006521EC" w:rsidRDefault="006521EC" w:rsidP="006521EC">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6521EC">
        <w:rPr>
          <w:rFonts w:ascii="Times New Roman" w:eastAsia="Times New Roman" w:hAnsi="Times New Roman" w:cs="Times New Roman"/>
          <w:b/>
          <w:bCs/>
          <w:sz w:val="27"/>
          <w:szCs w:val="27"/>
        </w:rPr>
        <w:t>Share Acquisitions in Existing Companies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 xml:space="preserve">Acquiring shares in an established Kenyan company allows investors to leverage existing operations, </w:t>
      </w:r>
      <w:proofErr w:type="spellStart"/>
      <w:r w:rsidRPr="006521EC">
        <w:rPr>
          <w:rFonts w:ascii="Times New Roman" w:eastAsia="Times New Roman" w:hAnsi="Times New Roman" w:cs="Times New Roman"/>
          <w:sz w:val="24"/>
          <w:szCs w:val="24"/>
        </w:rPr>
        <w:t>licences</w:t>
      </w:r>
      <w:proofErr w:type="spellEnd"/>
      <w:r w:rsidRPr="006521EC">
        <w:rPr>
          <w:rFonts w:ascii="Times New Roman" w:eastAsia="Times New Roman" w:hAnsi="Times New Roman" w:cs="Times New Roman"/>
          <w:sz w:val="24"/>
          <w:szCs w:val="24"/>
        </w:rPr>
        <w:t>, and market presence. However, this approach requires robust legal due diligence to identify legacy risks and regulatory exposure.</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Regulatory and Licensing Considerations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Foreign direct investment into Kenya is subject to various regulatory and licensing requirements, depending on the nature of the business.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Key considerations may include:</w:t>
      </w:r>
    </w:p>
    <w:p w:rsidR="006521EC" w:rsidRPr="006521EC" w:rsidRDefault="006521EC" w:rsidP="006521EC">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 xml:space="preserve">Sector-specific </w:t>
      </w:r>
      <w:proofErr w:type="spellStart"/>
      <w:r w:rsidRPr="006521EC">
        <w:rPr>
          <w:rFonts w:ascii="Times New Roman" w:eastAsia="Times New Roman" w:hAnsi="Times New Roman" w:cs="Times New Roman"/>
          <w:sz w:val="24"/>
          <w:szCs w:val="24"/>
        </w:rPr>
        <w:t>licences</w:t>
      </w:r>
      <w:proofErr w:type="spellEnd"/>
      <w:r w:rsidRPr="006521EC">
        <w:rPr>
          <w:rFonts w:ascii="Times New Roman" w:eastAsia="Times New Roman" w:hAnsi="Times New Roman" w:cs="Times New Roman"/>
          <w:sz w:val="24"/>
          <w:szCs w:val="24"/>
        </w:rPr>
        <w:t xml:space="preserve"> and approvals</w:t>
      </w:r>
    </w:p>
    <w:p w:rsidR="006521EC" w:rsidRPr="006521EC" w:rsidRDefault="006521EC" w:rsidP="006521EC">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Competition and merger control approvals</w:t>
      </w:r>
    </w:p>
    <w:p w:rsidR="006521EC" w:rsidRPr="006521EC" w:rsidRDefault="006521EC" w:rsidP="006521EC">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Compliance with investment promotion and registration frameworks</w:t>
      </w:r>
    </w:p>
    <w:p w:rsidR="006521EC" w:rsidRPr="006521EC" w:rsidRDefault="006521EC" w:rsidP="006521EC">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Exchange control and capital repatriation considerations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Early regulatory analysis is essential to ensure transaction timelines remain realistic and legally compliant.</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Corporate Governance Expectations of Foreign Investors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Foreign investors typically place significant emphasis on corporate governance when investing in Kenyan companies. Governance mechanisms commonly negotiated include:</w:t>
      </w:r>
    </w:p>
    <w:p w:rsidR="006521EC" w:rsidRPr="006521EC" w:rsidRDefault="006521EC" w:rsidP="006521EC">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Board representation and observer rights</w:t>
      </w:r>
    </w:p>
    <w:p w:rsidR="006521EC" w:rsidRPr="006521EC" w:rsidRDefault="006521EC" w:rsidP="006521EC">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Reserved matters requiring investor consent</w:t>
      </w:r>
    </w:p>
    <w:p w:rsidR="006521EC" w:rsidRPr="006521EC" w:rsidRDefault="006521EC" w:rsidP="006521EC">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lastRenderedPageBreak/>
        <w:t>Enhanced reporting and information rights</w:t>
      </w:r>
    </w:p>
    <w:p w:rsidR="006521EC" w:rsidRPr="006521EC" w:rsidRDefault="006521EC" w:rsidP="006521EC">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Audit and internal control frameworks</w:t>
      </w:r>
    </w:p>
    <w:p w:rsidR="006521EC" w:rsidRPr="006521EC" w:rsidRDefault="006521EC" w:rsidP="00414A47">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Strong corporate governance not only protects investor interests, but also enhances transparency, accountability, and long-term value creation.</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Legal Due Diligence in FDI Transactions</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Legal due diligence is a cornerstone of foreign direct investment. In the Kenyan context, due diligence often focuses on:</w:t>
      </w:r>
    </w:p>
    <w:p w:rsidR="006521EC" w:rsidRPr="006521EC" w:rsidRDefault="006521EC" w:rsidP="006521EC">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Corporate structure and compliance history</w:t>
      </w:r>
    </w:p>
    <w:p w:rsidR="006521EC" w:rsidRPr="006521EC" w:rsidRDefault="006521EC" w:rsidP="006521EC">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Ownership and title to shares and assets</w:t>
      </w:r>
    </w:p>
    <w:p w:rsidR="006521EC" w:rsidRPr="006521EC" w:rsidRDefault="006521EC" w:rsidP="006521EC">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 xml:space="preserve">Regulatory </w:t>
      </w:r>
      <w:proofErr w:type="spellStart"/>
      <w:r w:rsidRPr="006521EC">
        <w:rPr>
          <w:rFonts w:ascii="Times New Roman" w:eastAsia="Times New Roman" w:hAnsi="Times New Roman" w:cs="Times New Roman"/>
          <w:sz w:val="24"/>
          <w:szCs w:val="24"/>
        </w:rPr>
        <w:t>licences</w:t>
      </w:r>
      <w:proofErr w:type="spellEnd"/>
      <w:r w:rsidRPr="006521EC">
        <w:rPr>
          <w:rFonts w:ascii="Times New Roman" w:eastAsia="Times New Roman" w:hAnsi="Times New Roman" w:cs="Times New Roman"/>
          <w:sz w:val="24"/>
          <w:szCs w:val="24"/>
        </w:rPr>
        <w:t xml:space="preserve"> and approvals</w:t>
      </w:r>
    </w:p>
    <w:p w:rsidR="006521EC" w:rsidRPr="006521EC" w:rsidRDefault="006521EC" w:rsidP="006521EC">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Material contracts and change-of-control provisions</w:t>
      </w:r>
    </w:p>
    <w:p w:rsidR="006521EC" w:rsidRPr="006521EC" w:rsidRDefault="006521EC" w:rsidP="006521EC">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Employment, tax, and compliance risks</w:t>
      </w:r>
    </w:p>
    <w:p w:rsidR="006521EC" w:rsidRPr="006521EC" w:rsidRDefault="006521EC" w:rsidP="006521EC">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Existing or potential disputes</w:t>
      </w:r>
    </w:p>
    <w:p w:rsidR="006521EC" w:rsidRPr="006521EC" w:rsidRDefault="006521EC" w:rsidP="00414A47">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Due diligence findings directly influence transaction structure, pricing, and contractual risk allocation.</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Investment Protection and Risk Allocation</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Foreign investors typically rely on transaction documentation to manage legal and commercial risk. Key protections include:</w:t>
      </w:r>
    </w:p>
    <w:p w:rsidR="006521EC" w:rsidRPr="006521EC" w:rsidRDefault="006521EC" w:rsidP="006521EC">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Representations and warranties</w:t>
      </w:r>
    </w:p>
    <w:p w:rsidR="006521EC" w:rsidRPr="006521EC" w:rsidRDefault="006521EC" w:rsidP="006521EC">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Indemnities for identified risks</w:t>
      </w:r>
    </w:p>
    <w:p w:rsidR="006521EC" w:rsidRPr="006521EC" w:rsidRDefault="006521EC" w:rsidP="006521EC">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Conditions precedent linked to regulatory approvals</w:t>
      </w:r>
    </w:p>
    <w:p w:rsidR="006521EC" w:rsidRPr="006521EC" w:rsidRDefault="006521EC" w:rsidP="006521EC">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Exit rights and transfer restrictions</w:t>
      </w:r>
    </w:p>
    <w:p w:rsidR="006521EC" w:rsidRPr="006521EC" w:rsidRDefault="006521EC" w:rsidP="00414A47">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In cross-border investments, enforceability of contractual protections and dispute resolution mechanisms must be carefully considered.</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Dispute Resolution and Enforcement</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Dispute resolution is a strategic consideration in FDI transactions. Foreign investors often prefer:</w:t>
      </w:r>
    </w:p>
    <w:p w:rsidR="006521EC" w:rsidRPr="006521EC" w:rsidRDefault="006521EC" w:rsidP="006521EC">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International arbitration</w:t>
      </w:r>
    </w:p>
    <w:p w:rsidR="006521EC" w:rsidRPr="006521EC" w:rsidRDefault="006521EC" w:rsidP="006521EC">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Neutral governing law</w:t>
      </w:r>
    </w:p>
    <w:p w:rsidR="006521EC" w:rsidRPr="006521EC" w:rsidRDefault="006521EC" w:rsidP="006521EC">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Enforcement-friendly dispute resolution mechanisms</w:t>
      </w:r>
    </w:p>
    <w:p w:rsidR="006521EC" w:rsidRPr="006521EC" w:rsidRDefault="006521EC" w:rsidP="00414A47">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lastRenderedPageBreak/>
        <w:t>These choices are driven by predictability, neutrality, and ease of enforcement of awards across jurisdictions.</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Why Legal Structuring Matters in FDI into Kenya</w:t>
      </w:r>
    </w:p>
    <w:p w:rsidR="006521EC" w:rsidRPr="006521EC" w:rsidRDefault="006521EC" w:rsidP="006521EC">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Well-structured foreign direct investment enhances investor confidence and reduces execution risk. Poor legal structuring, by contrast, can lead to:</w:t>
      </w:r>
    </w:p>
    <w:p w:rsidR="006521EC" w:rsidRPr="006521EC" w:rsidRDefault="006521EC" w:rsidP="006521EC">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Regulatory delays</w:t>
      </w:r>
    </w:p>
    <w:p w:rsidR="006521EC" w:rsidRPr="006521EC" w:rsidRDefault="006521EC" w:rsidP="006521EC">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Governance disputes</w:t>
      </w:r>
    </w:p>
    <w:p w:rsidR="006521EC" w:rsidRPr="006521EC" w:rsidRDefault="006521EC" w:rsidP="006521EC">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Difficult exits</w:t>
      </w:r>
    </w:p>
    <w:p w:rsidR="006521EC" w:rsidRPr="006521EC" w:rsidRDefault="006521EC" w:rsidP="006521EC">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Increased litigation risk</w:t>
      </w:r>
    </w:p>
    <w:p w:rsidR="006521EC" w:rsidRPr="006521EC" w:rsidRDefault="006521EC" w:rsidP="00414A47">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For this reason, FDI into Kenya should be approached as a comprehensive corporate governance and risk-management exercise, not merely an investment transaction.</w:t>
      </w:r>
    </w:p>
    <w:p w:rsidR="006521EC" w:rsidRPr="006521EC" w:rsidRDefault="006521EC" w:rsidP="006521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6521EC">
        <w:rPr>
          <w:rFonts w:ascii="Times New Roman" w:eastAsia="Times New Roman" w:hAnsi="Times New Roman" w:cs="Times New Roman"/>
          <w:b/>
          <w:bCs/>
          <w:sz w:val="36"/>
          <w:szCs w:val="36"/>
        </w:rPr>
        <w:t>Conclusion</w:t>
      </w:r>
    </w:p>
    <w:p w:rsidR="00862AF1" w:rsidRPr="00414A47" w:rsidRDefault="006521EC" w:rsidP="00414A47">
      <w:pPr>
        <w:spacing w:before="100" w:beforeAutospacing="1" w:after="100" w:afterAutospacing="1" w:line="240" w:lineRule="auto"/>
        <w:jc w:val="both"/>
        <w:rPr>
          <w:rFonts w:ascii="Times New Roman" w:eastAsia="Times New Roman" w:hAnsi="Times New Roman" w:cs="Times New Roman"/>
          <w:sz w:val="24"/>
          <w:szCs w:val="24"/>
        </w:rPr>
      </w:pPr>
      <w:r w:rsidRPr="006521EC">
        <w:rPr>
          <w:rFonts w:ascii="Times New Roman" w:eastAsia="Times New Roman" w:hAnsi="Times New Roman" w:cs="Times New Roman"/>
          <w:sz w:val="24"/>
          <w:szCs w:val="24"/>
        </w:rPr>
        <w:t>Foreign direct investment into Kenya presents substantial opportunities for international investors. Success, however, depends on a clear understanding of Kenyan company law, regulatory frameworks, and corporate governance expectations.</w:t>
      </w:r>
      <w:bookmarkStart w:id="0" w:name="_GoBack"/>
      <w:bookmarkEnd w:id="0"/>
    </w:p>
    <w:sectPr w:rsidR="00862AF1" w:rsidRPr="00414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42AC7"/>
    <w:multiLevelType w:val="multilevel"/>
    <w:tmpl w:val="AB4C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6F7A90"/>
    <w:multiLevelType w:val="multilevel"/>
    <w:tmpl w:val="691C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D2BF8"/>
    <w:multiLevelType w:val="multilevel"/>
    <w:tmpl w:val="FF3A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7830DD"/>
    <w:multiLevelType w:val="multilevel"/>
    <w:tmpl w:val="7EBA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E0359"/>
    <w:multiLevelType w:val="multilevel"/>
    <w:tmpl w:val="1450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82B45"/>
    <w:multiLevelType w:val="multilevel"/>
    <w:tmpl w:val="7F3E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4D1B81"/>
    <w:multiLevelType w:val="multilevel"/>
    <w:tmpl w:val="B12C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4341EA"/>
    <w:multiLevelType w:val="multilevel"/>
    <w:tmpl w:val="C436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8F677F"/>
    <w:multiLevelType w:val="multilevel"/>
    <w:tmpl w:val="5E46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2"/>
  </w:num>
  <w:num w:numId="4">
    <w:abstractNumId w:val="6"/>
  </w:num>
  <w:num w:numId="5">
    <w:abstractNumId w:val="1"/>
  </w:num>
  <w:num w:numId="6">
    <w:abstractNumId w:val="0"/>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1EC"/>
    <w:rsid w:val="000B7BC8"/>
    <w:rsid w:val="00414A47"/>
    <w:rsid w:val="006521EC"/>
    <w:rsid w:val="007F5DAC"/>
    <w:rsid w:val="00862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E4ED"/>
  <w15:chartTrackingRefBased/>
  <w15:docId w15:val="{2AE5EC4C-6A81-4A64-ACC9-A4F905B8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521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521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52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1E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52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521E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521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21EC"/>
    <w:rPr>
      <w:b/>
      <w:bCs/>
    </w:rPr>
  </w:style>
  <w:style w:type="character" w:styleId="Emphasis">
    <w:name w:val="Emphasis"/>
    <w:basedOn w:val="DefaultParagraphFont"/>
    <w:uiPriority w:val="20"/>
    <w:qFormat/>
    <w:rsid w:val="006521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Imanyara</dc:creator>
  <cp:keywords/>
  <dc:description/>
  <cp:lastModifiedBy>Doreen Imanyara</cp:lastModifiedBy>
  <cp:revision>1</cp:revision>
  <dcterms:created xsi:type="dcterms:W3CDTF">2026-01-22T08:33:00Z</dcterms:created>
  <dcterms:modified xsi:type="dcterms:W3CDTF">2026-01-22T08:49:00Z</dcterms:modified>
</cp:coreProperties>
</file>